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center"/>
      </w:pPr>
      <w:r>
        <w:t>Пояснительная записка</w:t>
      </w:r>
    </w:p>
    <w:p w14:paraId="02000000">
      <w:pPr>
        <w:ind/>
        <w:jc w:val="center"/>
      </w:pPr>
      <w:r>
        <w:t xml:space="preserve">к проекту постановления Правительства Камчатского края «О внесении </w:t>
      </w:r>
      <w:r>
        <w:rPr>
          <w:sz w:val="28"/>
        </w:rPr>
        <w:t>изменений</w:t>
      </w:r>
      <w:r>
        <w:t xml:space="preserve"> в государственную программу Камчатского края «</w:t>
      </w:r>
      <w:r>
        <w:t>Развитие рыбохозяйственного комплекса</w:t>
      </w:r>
      <w:r>
        <w:t xml:space="preserve"> Камчатского края», утвержденную постановлением Правительства Камчатского края от 29.11.2013 № 533-П»</w:t>
      </w:r>
    </w:p>
    <w:p w14:paraId="03000000">
      <w:pPr>
        <w:ind w:right="-2"/>
        <w:jc w:val="center"/>
      </w:pPr>
    </w:p>
    <w:p w14:paraId="04000000">
      <w:pPr>
        <w:tabs>
          <w:tab w:leader="none" w:pos="1620" w:val="left"/>
        </w:tabs>
        <w:ind w:firstLine="709" w:left="0" w:right="-2"/>
        <w:jc w:val="both"/>
        <w:rPr>
          <w:color w:val="000000"/>
        </w:rPr>
      </w:pPr>
      <w:r>
        <w:t xml:space="preserve">Настоящий проект постановления </w:t>
      </w:r>
      <w:r>
        <w:t xml:space="preserve">Правительства Камчатского края </w:t>
      </w:r>
      <w:r>
        <w:t>разработа</w:t>
      </w:r>
      <w:r>
        <w:rPr>
          <w:color w:val="000000"/>
        </w:rPr>
        <w:t xml:space="preserve">н </w:t>
      </w:r>
      <w:r>
        <w:rPr>
          <w:color w:val="000000"/>
        </w:rPr>
        <w:t>в целях</w:t>
      </w:r>
      <w:r>
        <w:rPr>
          <w:color w:val="000000"/>
        </w:rPr>
        <w:t xml:space="preserve"> </w:t>
      </w:r>
      <w:r>
        <w:rPr>
          <w:color w:val="000000"/>
        </w:rPr>
        <w:t xml:space="preserve">приведения в соответствие объемов финансового обеспечения государственной программы Камчатского края «Развитие рыбохозяйственного комплекса Камчатского края» (далее </w:t>
      </w:r>
      <w:r>
        <w:rPr>
          <w:color w:val="000000"/>
        </w:rPr>
        <w:t>–</w:t>
      </w:r>
      <w:r>
        <w:rPr>
          <w:color w:val="000000"/>
        </w:rPr>
        <w:t xml:space="preserve"> Программа) с</w:t>
      </w:r>
      <w:r>
        <w:rPr>
          <w:color w:val="000000"/>
        </w:rPr>
        <w:t xml:space="preserve"> лимитами</w:t>
      </w:r>
      <w:r>
        <w:rPr>
          <w:color w:val="000000"/>
        </w:rPr>
        <w:t xml:space="preserve"> краевого бюджета на 2023 год в соответствии с бюджетной росписью, а также проектом </w:t>
      </w:r>
      <w:r>
        <w:rPr>
          <w:color w:val="000000"/>
        </w:rPr>
        <w:t xml:space="preserve">Закона Камчатского края </w:t>
      </w:r>
      <w:r>
        <w:rPr>
          <w:color w:val="000000"/>
        </w:rPr>
        <w:t xml:space="preserve">«О внесении изменений в </w:t>
      </w:r>
      <w:r>
        <w:rPr>
          <w:rFonts w:ascii="Times New Roman" w:hAnsi="Times New Roman"/>
          <w:color w:val="000000"/>
          <w:sz w:val="28"/>
          <w:highlight w:val="white"/>
        </w:rPr>
        <w:t>Закон Камчатского края от 2</w:t>
      </w:r>
      <w:r>
        <w:rPr>
          <w:rFonts w:ascii="Times New Roman" w:hAnsi="Times New Roman"/>
          <w:color w:val="000000"/>
          <w:sz w:val="28"/>
          <w:highlight w:val="white"/>
        </w:rPr>
        <w:t>9</w:t>
      </w:r>
      <w:r>
        <w:rPr>
          <w:rFonts w:ascii="Times New Roman" w:hAnsi="Times New Roman"/>
          <w:color w:val="000000"/>
          <w:sz w:val="28"/>
          <w:highlight w:val="white"/>
        </w:rPr>
        <w:t>.11.202</w:t>
      </w:r>
      <w:r>
        <w:rPr>
          <w:rFonts w:ascii="Times New Roman" w:hAnsi="Times New Roman"/>
          <w:color w:val="000000"/>
          <w:sz w:val="28"/>
          <w:highlight w:val="white"/>
        </w:rPr>
        <w:t>2</w:t>
      </w:r>
      <w:r>
        <w:rPr>
          <w:rFonts w:ascii="Times New Roman" w:hAnsi="Times New Roman"/>
          <w:color w:val="000000"/>
          <w:sz w:val="28"/>
          <w:highlight w:val="white"/>
        </w:rPr>
        <w:t xml:space="preserve"> № </w:t>
      </w:r>
      <w:r>
        <w:rPr>
          <w:rFonts w:ascii="Times New Roman" w:hAnsi="Times New Roman"/>
          <w:color w:val="000000"/>
          <w:sz w:val="28"/>
          <w:highlight w:val="white"/>
        </w:rPr>
        <w:t>15</w:t>
      </w:r>
      <w:r>
        <w:rPr>
          <w:rFonts w:ascii="Times New Roman" w:hAnsi="Times New Roman"/>
          <w:color w:val="000000"/>
          <w:sz w:val="28"/>
          <w:highlight w:val="white"/>
        </w:rPr>
        <w:t>5 «О краевом бюджете на 202</w:t>
      </w:r>
      <w:r>
        <w:rPr>
          <w:rFonts w:ascii="Times New Roman" w:hAnsi="Times New Roman"/>
          <w:color w:val="000000"/>
          <w:sz w:val="28"/>
          <w:highlight w:val="white"/>
        </w:rPr>
        <w:t>3</w:t>
      </w:r>
      <w:r>
        <w:rPr>
          <w:rFonts w:ascii="Times New Roman" w:hAnsi="Times New Roman"/>
          <w:color w:val="000000"/>
          <w:sz w:val="28"/>
          <w:highlight w:val="white"/>
        </w:rPr>
        <w:t xml:space="preserve"> год и на плановый период 202</w:t>
      </w:r>
      <w:r>
        <w:rPr>
          <w:rFonts w:ascii="Times New Roman" w:hAnsi="Times New Roman"/>
          <w:color w:val="000000"/>
          <w:sz w:val="28"/>
          <w:highlight w:val="white"/>
        </w:rPr>
        <w:t>4</w:t>
      </w:r>
      <w:r>
        <w:rPr>
          <w:rFonts w:ascii="Times New Roman" w:hAnsi="Times New Roman"/>
          <w:color w:val="000000"/>
          <w:sz w:val="28"/>
          <w:highlight w:val="white"/>
        </w:rPr>
        <w:t xml:space="preserve"> и 202</w:t>
      </w:r>
      <w:r>
        <w:rPr>
          <w:rFonts w:ascii="Times New Roman" w:hAnsi="Times New Roman"/>
          <w:color w:val="000000"/>
          <w:sz w:val="28"/>
          <w:highlight w:val="white"/>
        </w:rPr>
        <w:t>5</w:t>
      </w:r>
      <w:r>
        <w:rPr>
          <w:rFonts w:ascii="Times New Roman" w:hAnsi="Times New Roman"/>
          <w:color w:val="000000"/>
          <w:sz w:val="28"/>
          <w:highlight w:val="white"/>
        </w:rPr>
        <w:t xml:space="preserve"> годов»</w:t>
      </w:r>
      <w:r>
        <w:rPr>
          <w:color w:val="000000"/>
        </w:rPr>
        <w:t>.</w:t>
      </w:r>
    </w:p>
    <w:p w14:paraId="05000000">
      <w:pPr>
        <w:ind w:firstLine="709" w:left="0"/>
        <w:jc w:val="both"/>
        <w:rPr>
          <w:color w:val="000000"/>
        </w:rPr>
      </w:pPr>
      <w:r>
        <w:rPr>
          <w:color w:val="000000"/>
        </w:rPr>
        <w:t xml:space="preserve">Для реализации настоящего постановления </w:t>
      </w:r>
      <w:r>
        <w:rPr>
          <w:color w:val="000000"/>
        </w:rPr>
        <w:t>Правительства Камчатского края</w:t>
      </w:r>
      <w:r>
        <w:rPr>
          <w:color w:val="000000"/>
        </w:rPr>
        <w:t xml:space="preserve"> не потребуются дополнительные средства краевого бюджета.</w:t>
      </w:r>
    </w:p>
    <w:p w14:paraId="06000000">
      <w:pPr>
        <w:tabs>
          <w:tab w:leader="none" w:pos="1620" w:val="left"/>
        </w:tabs>
        <w:ind w:firstLine="709" w:left="0" w:right="-2"/>
        <w:jc w:val="both"/>
        <w:rPr>
          <w:color w:val="000000"/>
        </w:rPr>
      </w:pPr>
      <w:r>
        <w:rPr>
          <w:color w:val="000000"/>
        </w:rPr>
        <w:t xml:space="preserve">Проект постановления Правительства Камчатского края размещен </w:t>
      </w:r>
      <w:r>
        <w:rPr>
          <w:color w:val="000000"/>
        </w:rPr>
        <w:t>24.11.2023</w:t>
      </w:r>
      <w:r>
        <w:rPr>
          <w:color w:val="000000"/>
        </w:rPr>
        <w:t xml:space="preserve"> на Едином портале проведения независимой антикоррупционной экспертизы и общ</w:t>
      </w:r>
      <w:r>
        <w:rPr>
          <w:color w:val="000000"/>
        </w:rPr>
        <w:t>ественного обсуждения проектов нормативных правовых актов Камчатского края (htths://npaproject.kamgov.ru) в с</w:t>
      </w:r>
      <w:r>
        <w:rPr>
          <w:color w:val="000000"/>
        </w:rPr>
        <w:t>рок до</w:t>
      </w:r>
      <w:r>
        <w:rPr>
          <w:color w:val="000000"/>
        </w:rPr>
        <w:t xml:space="preserve"> </w:t>
      </w:r>
      <w:r>
        <w:rPr>
          <w:color w:val="000000"/>
        </w:rPr>
        <w:t>30</w:t>
      </w:r>
      <w:r>
        <w:rPr>
          <w:color w:val="000000"/>
        </w:rPr>
        <w:t>.11</w:t>
      </w:r>
      <w:r>
        <w:rPr>
          <w:color w:val="000000"/>
        </w:rPr>
        <w:t>.20</w:t>
      </w:r>
      <w:r>
        <w:rPr>
          <w:color w:val="000000"/>
        </w:rPr>
        <w:t>23</w:t>
      </w:r>
      <w:r>
        <w:rPr>
          <w:color w:val="000000"/>
        </w:rPr>
        <w:t xml:space="preserve"> для </w:t>
      </w:r>
      <w:r>
        <w:rPr>
          <w:color w:val="000000"/>
        </w:rPr>
        <w:t xml:space="preserve">проведения независимой антикоррупционной экспертизы. </w:t>
      </w:r>
    </w:p>
    <w:p w14:paraId="07000000">
      <w:pPr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Проект постановления Правительства Камчатского края не подлежит оценке регулирующего воздействия в соответствии </w:t>
      </w:r>
      <w:r>
        <w:rPr>
          <w:rFonts w:ascii="Times New Roman" w:hAnsi="Times New Roman"/>
          <w:color w:val="000000"/>
          <w:sz w:val="28"/>
        </w:rPr>
        <w:t xml:space="preserve">с </w:t>
      </w:r>
      <w:r>
        <w:rPr>
          <w:rFonts w:ascii="Times New Roman" w:hAnsi="Times New Roman"/>
          <w:b w:val="0"/>
          <w:color w:val="000000"/>
          <w:sz w:val="28"/>
        </w:rPr>
        <w:t>постановлением Правительства Камчатского края от 28.09.2022 № 510-П «</w:t>
      </w:r>
      <w:r>
        <w:rPr>
          <w:rFonts w:ascii="Times New Roman" w:hAnsi="Times New Roman"/>
          <w:b w:val="0"/>
          <w:color w:val="000000"/>
          <w:sz w:val="28"/>
        </w:rPr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p w14:paraId="08000000">
      <w:pPr>
        <w:pStyle w:val="Style_1"/>
        <w:ind w:firstLine="0" w:left="0"/>
        <w:jc w:val="both"/>
        <w:rPr>
          <w:rFonts w:ascii="XO Thames" w:hAnsi="XO Thames"/>
          <w:color w:val="000000"/>
          <w:sz w:val="28"/>
        </w:rPr>
      </w:pPr>
    </w:p>
    <w:p w14:paraId="09000000">
      <w:pPr>
        <w:pStyle w:val="Style_1"/>
        <w:ind w:firstLine="0" w:left="0"/>
        <w:jc w:val="both"/>
        <w:rPr>
          <w:rFonts w:ascii="Times New Roman" w:hAnsi="Times New Roman"/>
          <w:color w:val="000000"/>
          <w:sz w:val="28"/>
        </w:rPr>
      </w:pPr>
    </w:p>
    <w:p w14:paraId="0A000000">
      <w:pPr>
        <w:pStyle w:val="Style_1"/>
        <w:ind w:firstLine="0" w:left="0"/>
        <w:jc w:val="both"/>
        <w:rPr>
          <w:rFonts w:ascii="Times New Roman" w:hAnsi="Times New Roman"/>
          <w:color w:val="000000"/>
          <w:sz w:val="28"/>
        </w:rPr>
      </w:pPr>
    </w:p>
    <w:p w14:paraId="0B000000">
      <w:pPr>
        <w:pStyle w:val="Style_1"/>
        <w:ind w:firstLine="0" w:left="0"/>
        <w:jc w:val="both"/>
        <w:rPr>
          <w:rFonts w:ascii="Times New Roman" w:hAnsi="Times New Roman"/>
          <w:sz w:val="28"/>
        </w:rPr>
      </w:pPr>
    </w:p>
    <w:p w14:paraId="0C000000">
      <w:pPr>
        <w:pStyle w:val="Style_1"/>
        <w:ind w:firstLine="0" w:left="0"/>
        <w:jc w:val="both"/>
        <w:rPr>
          <w:rFonts w:ascii="Times New Roman" w:hAnsi="Times New Roman"/>
          <w:sz w:val="28"/>
        </w:rPr>
      </w:pPr>
    </w:p>
    <w:p w14:paraId="0D000000">
      <w:pPr>
        <w:pStyle w:val="Style_2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</w:p>
    <w:sectPr>
      <w:pgSz w:h="16838" w:orient="portrait" w:w="11906"/>
      <w:pgMar w:bottom="1134" w:footer="709" w:gutter="0" w:header="709" w:left="1418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8"/>
    </w:rPr>
  </w:style>
  <w:style w:default="1" w:styleId="Style_3_ch" w:type="character">
    <w:name w:val="Normal"/>
    <w:link w:val="Style_3"/>
    <w:rPr>
      <w:sz w:val="28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basedOn w:val="Style_3"/>
    <w:link w:val="Style_8_ch"/>
    <w:rPr>
      <w:sz w:val="20"/>
    </w:rPr>
  </w:style>
  <w:style w:styleId="Style_8_ch" w:type="character">
    <w:name w:val="Endnote"/>
    <w:basedOn w:val="Style_3_ch"/>
    <w:link w:val="Style_8"/>
    <w:rPr>
      <w:sz w:val="20"/>
    </w:rPr>
  </w:style>
  <w:style w:styleId="Style_9" w:type="paragraph">
    <w:name w:val="heading 3"/>
    <w:next w:val="Style_3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Гипертекстовая ссылка"/>
    <w:link w:val="Style_10_ch"/>
    <w:rPr>
      <w:b w:val="1"/>
      <w:color w:val="008000"/>
      <w:sz w:val="20"/>
      <w:u w:val="single"/>
    </w:rPr>
  </w:style>
  <w:style w:styleId="Style_10_ch" w:type="character">
    <w:name w:val="Гипертекстовая ссылка"/>
    <w:link w:val="Style_10"/>
    <w:rPr>
      <w:b w:val="1"/>
      <w:color w:val="008000"/>
      <w:sz w:val="20"/>
      <w:u w:val="single"/>
    </w:rPr>
  </w:style>
  <w:style w:styleId="Style_11" w:type="paragraph">
    <w:name w:val="endnote reference"/>
    <w:link w:val="Style_11_ch"/>
    <w:rPr>
      <w:vertAlign w:val="superscript"/>
    </w:rPr>
  </w:style>
  <w:style w:styleId="Style_11_ch" w:type="character">
    <w:name w:val="endnote reference"/>
    <w:link w:val="Style_11"/>
    <w:rPr>
      <w:vertAlign w:val="superscript"/>
    </w:rPr>
  </w:style>
  <w:style w:styleId="Style_12" w:type="paragraph">
    <w:name w:val="Balloon Text"/>
    <w:basedOn w:val="Style_3"/>
    <w:link w:val="Style_12_ch"/>
    <w:rPr>
      <w:rFonts w:ascii="Tahoma" w:hAnsi="Tahoma"/>
      <w:sz w:val="16"/>
    </w:rPr>
  </w:style>
  <w:style w:styleId="Style_12_ch" w:type="character">
    <w:name w:val="Balloon Text"/>
    <w:basedOn w:val="Style_3_ch"/>
    <w:link w:val="Style_12"/>
    <w:rPr>
      <w:rFonts w:ascii="Tahoma" w:hAnsi="Tahoma"/>
      <w:sz w:val="16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toc 3"/>
    <w:next w:val="Style_3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ConsPlusNonformat"/>
    <w:link w:val="Style_15_ch"/>
    <w:rPr>
      <w:rFonts w:ascii="Courier New" w:hAnsi="Courier New"/>
    </w:rPr>
  </w:style>
  <w:style w:styleId="Style_15_ch" w:type="character">
    <w:name w:val="ConsPlusNonformat"/>
    <w:link w:val="Style_15"/>
    <w:rPr>
      <w:rFonts w:ascii="Courier New" w:hAnsi="Courier New"/>
    </w:rPr>
  </w:style>
  <w:style w:styleId="Style_16" w:type="paragraph">
    <w:name w:val="heading 5"/>
    <w:next w:val="Style_3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3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" w:type="paragraph">
    <w:name w:val="ConsPlusTitle"/>
    <w:link w:val="Style_2_ch"/>
    <w:pPr>
      <w:widowControl w:val="0"/>
      <w:ind/>
    </w:pPr>
    <w:rPr>
      <w:rFonts w:ascii="Arial" w:hAnsi="Arial"/>
      <w:b w:val="1"/>
    </w:rPr>
  </w:style>
  <w:style w:styleId="Style_2_ch" w:type="character">
    <w:name w:val="ConsPlusTitle"/>
    <w:link w:val="Style_2"/>
    <w:rPr>
      <w:rFonts w:ascii="Arial" w:hAnsi="Arial"/>
      <w:b w:val="1"/>
    </w:rPr>
  </w:style>
  <w:style w:styleId="Style_20" w:type="paragraph">
    <w:name w:val="toc 1"/>
    <w:next w:val="Style_3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0"/>
    </w:rPr>
  </w:style>
  <w:style w:styleId="Style_21_ch" w:type="character">
    <w:name w:val="Header and Footer"/>
    <w:link w:val="Style_21"/>
    <w:rPr>
      <w:rFonts w:ascii="XO Thames" w:hAnsi="XO Thames"/>
      <w:sz w:val="20"/>
    </w:rPr>
  </w:style>
  <w:style w:styleId="Style_22" w:type="paragraph">
    <w:name w:val="Комментарий"/>
    <w:basedOn w:val="Style_3"/>
    <w:next w:val="Style_3"/>
    <w:link w:val="Style_22_ch"/>
    <w:pPr>
      <w:ind w:firstLine="0" w:left="170"/>
      <w:jc w:val="both"/>
    </w:pPr>
    <w:rPr>
      <w:rFonts w:ascii="Arial" w:hAnsi="Arial"/>
      <w:i w:val="1"/>
      <w:color w:val="800080"/>
      <w:sz w:val="20"/>
    </w:rPr>
  </w:style>
  <w:style w:styleId="Style_22_ch" w:type="character">
    <w:name w:val="Комментарий"/>
    <w:basedOn w:val="Style_3_ch"/>
    <w:link w:val="Style_22"/>
    <w:rPr>
      <w:rFonts w:ascii="Arial" w:hAnsi="Arial"/>
      <w:i w:val="1"/>
      <w:color w:val="800080"/>
      <w:sz w:val="20"/>
    </w:rPr>
  </w:style>
  <w:style w:styleId="Style_23" w:type="paragraph">
    <w:name w:val="toc 9"/>
    <w:next w:val="Style_3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3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3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No Spacing"/>
    <w:link w:val="Style_26_ch"/>
    <w:rPr>
      <w:rFonts w:ascii="Calibri" w:hAnsi="Calibri"/>
      <w:sz w:val="22"/>
    </w:rPr>
  </w:style>
  <w:style w:styleId="Style_26_ch" w:type="character">
    <w:name w:val="No Spacing"/>
    <w:link w:val="Style_26"/>
    <w:rPr>
      <w:rFonts w:ascii="Calibri" w:hAnsi="Calibri"/>
      <w:sz w:val="22"/>
    </w:rPr>
  </w:style>
  <w:style w:styleId="Style_27" w:type="paragraph">
    <w:name w:val="Subtitle"/>
    <w:next w:val="Style_3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next w:val="Style_3"/>
    <w:link w:val="Style_2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3"/>
    <w:link w:val="Style_2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1" w:type="paragraph">
    <w:name w:val="ConsPlusNormal"/>
    <w:link w:val="Style_1_ch"/>
    <w:pPr>
      <w:widowControl w:val="0"/>
      <w:ind w:firstLine="720" w:left="0"/>
    </w:pPr>
    <w:rPr>
      <w:rFonts w:ascii="Arial" w:hAnsi="Arial"/>
    </w:rPr>
  </w:style>
  <w:style w:styleId="Style_1_ch" w:type="character">
    <w:name w:val="ConsPlusNormal"/>
    <w:link w:val="Style_1"/>
    <w:rPr>
      <w:rFonts w:ascii="Arial" w:hAnsi="Arial"/>
    </w:rPr>
  </w:style>
  <w:style w:styleId="Style_30" w:type="paragraph">
    <w:name w:val="heading 2"/>
    <w:next w:val="Style_3"/>
    <w:link w:val="Style_3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styleId="Style_31" w:type="table">
    <w:name w:val="Table Grid"/>
    <w:basedOn w:val="Style_3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2023-11-24T04:37:51Z</dcterms:modified>
</cp:coreProperties>
</file>